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D5F5AA" w:rsidP="69D5F5AA" w:rsidRDefault="69D5F5AA" w14:paraId="066C26EB" w14:textId="6D85592B">
      <w:pPr>
        <w:spacing w:line="276" w:lineRule="auto"/>
        <w:rPr>
          <w:rFonts w:ascii="Times New Roman" w:hAnsi="Times New Roman" w:eastAsia="Times New Roman" w:cs="Times New Roman"/>
          <w:b w:val="1"/>
          <w:bCs w:val="1"/>
          <w:noProof w:val="0"/>
          <w:color w:val="auto"/>
          <w:sz w:val="24"/>
          <w:szCs w:val="24"/>
          <w:lang w:val="en-US"/>
        </w:rPr>
      </w:pPr>
      <w:r w:rsidRPr="69D5F5AA" w:rsidR="69D5F5AA">
        <w:rPr>
          <w:rFonts w:ascii="Times New Roman" w:hAnsi="Times New Roman" w:eastAsia="Times New Roman" w:cs="Times New Roman"/>
          <w:b w:val="1"/>
          <w:bCs w:val="1"/>
          <w:noProof w:val="0"/>
          <w:color w:val="auto"/>
          <w:sz w:val="24"/>
          <w:szCs w:val="24"/>
          <w:lang w:val="en-US"/>
        </w:rPr>
        <w:t>Title:</w:t>
      </w:r>
    </w:p>
    <w:p w:rsidR="69D5F5AA" w:rsidP="69D5F5AA" w:rsidRDefault="69D5F5AA" w14:paraId="64482532" w14:textId="0A91967B">
      <w:pPr>
        <w:pStyle w:val="Normal"/>
        <w:bidi w:val="0"/>
        <w:spacing w:before="0" w:beforeAutospacing="off" w:after="160" w:afterAutospacing="off" w:line="276" w:lineRule="auto"/>
        <w:ind w:left="0" w:right="0"/>
        <w:jc w:val="left"/>
        <w:rPr>
          <w:rFonts w:ascii="Times New Roman" w:hAnsi="Times New Roman" w:eastAsia="Times New Roman" w:cs="Times New Roman"/>
          <w:noProof w:val="0"/>
          <w:color w:val="auto"/>
          <w:sz w:val="24"/>
          <w:szCs w:val="24"/>
          <w:lang w:val="en-US"/>
        </w:rPr>
      </w:pPr>
      <w:r w:rsidRPr="69D5F5AA" w:rsidR="69D5F5AA">
        <w:rPr>
          <w:rFonts w:ascii="Times New Roman" w:hAnsi="Times New Roman" w:eastAsia="Times New Roman" w:cs="Times New Roman"/>
          <w:noProof w:val="0"/>
          <w:color w:val="auto"/>
          <w:sz w:val="24"/>
          <w:szCs w:val="24"/>
          <w:lang w:val="en-US"/>
        </w:rPr>
        <w:t>Concomitant placement of intracranial pressure monitor during isolated acute subdural hematoma evacuation does not improve neurological outcomes</w:t>
      </w:r>
    </w:p>
    <w:p w:rsidR="69D5F5AA" w:rsidP="69D5F5AA" w:rsidRDefault="69D5F5AA" w14:paraId="785F1B23" w14:textId="3A23574E">
      <w:pPr>
        <w:spacing w:line="276" w:lineRule="auto"/>
        <w:rPr>
          <w:rFonts w:ascii="Times New Roman" w:hAnsi="Times New Roman" w:eastAsia="Times New Roman" w:cs="Times New Roman"/>
          <w:noProof w:val="0"/>
          <w:color w:val="auto"/>
          <w:sz w:val="24"/>
          <w:szCs w:val="24"/>
          <w:lang w:val="en-US"/>
        </w:rPr>
      </w:pPr>
      <w:r w:rsidRPr="69D5F5AA" w:rsidR="69D5F5AA">
        <w:rPr>
          <w:rFonts w:ascii="Times New Roman" w:hAnsi="Times New Roman" w:eastAsia="Times New Roman" w:cs="Times New Roman"/>
          <w:b w:val="1"/>
          <w:bCs w:val="1"/>
          <w:noProof w:val="0"/>
          <w:color w:val="auto"/>
          <w:sz w:val="24"/>
          <w:szCs w:val="24"/>
          <w:lang w:val="en-US"/>
        </w:rPr>
        <w:t>Authors:</w:t>
      </w:r>
      <w:r w:rsidRPr="69D5F5AA" w:rsidR="69D5F5AA">
        <w:rPr>
          <w:rFonts w:ascii="Times New Roman" w:hAnsi="Times New Roman" w:eastAsia="Times New Roman" w:cs="Times New Roman"/>
          <w:noProof w:val="0"/>
          <w:color w:val="auto"/>
          <w:sz w:val="24"/>
          <w:szCs w:val="24"/>
          <w:lang w:val="en-US"/>
        </w:rPr>
        <w:t xml:space="preserve"> </w:t>
      </w:r>
    </w:p>
    <w:p w:rsidR="69D5F5AA" w:rsidP="69D5F5AA" w:rsidRDefault="69D5F5AA" w14:paraId="28F8458F" w14:textId="491B2A0C">
      <w:pPr>
        <w:spacing w:line="276" w:lineRule="auto"/>
        <w:rPr>
          <w:rFonts w:ascii="Times New Roman" w:hAnsi="Times New Roman" w:eastAsia="Times New Roman" w:cs="Times New Roman"/>
          <w:noProof w:val="0"/>
          <w:color w:val="auto"/>
          <w:sz w:val="24"/>
          <w:szCs w:val="24"/>
          <w:lang w:val="en-US"/>
        </w:rPr>
      </w:pPr>
      <w:r w:rsidRPr="69D5F5AA" w:rsidR="69D5F5AA">
        <w:rPr>
          <w:rFonts w:ascii="Times New Roman" w:hAnsi="Times New Roman" w:eastAsia="Times New Roman" w:cs="Times New Roman"/>
          <w:noProof w:val="0"/>
          <w:color w:val="auto"/>
          <w:sz w:val="24"/>
          <w:szCs w:val="24"/>
          <w:u w:val="single"/>
          <w:lang w:val="en-US"/>
        </w:rPr>
        <w:t>LEE Siang Liao, HO Jason</w:t>
      </w:r>
      <w:r w:rsidRPr="69D5F5AA" w:rsidR="69D5F5AA">
        <w:rPr>
          <w:rFonts w:ascii="Times New Roman" w:hAnsi="Times New Roman" w:eastAsia="Times New Roman" w:cs="Times New Roman"/>
          <w:noProof w:val="0"/>
          <w:color w:val="auto"/>
          <w:sz w:val="24"/>
          <w:szCs w:val="24"/>
          <w:lang w:val="en-US"/>
        </w:rPr>
        <w:t xml:space="preserve"> </w:t>
      </w:r>
    </w:p>
    <w:p w:rsidR="69D5F5AA" w:rsidP="69D5F5AA" w:rsidRDefault="69D5F5AA" w14:paraId="0EAFC1A7" w14:textId="7D5C1ED4">
      <w:pPr>
        <w:spacing w:line="276" w:lineRule="auto"/>
        <w:rPr>
          <w:rFonts w:ascii="Times New Roman" w:hAnsi="Times New Roman" w:eastAsia="Times New Roman" w:cs="Times New Roman"/>
          <w:b w:val="1"/>
          <w:bCs w:val="1"/>
          <w:noProof w:val="0"/>
          <w:color w:val="auto"/>
          <w:sz w:val="24"/>
          <w:szCs w:val="24"/>
          <w:lang w:val="en-US"/>
        </w:rPr>
      </w:pPr>
      <w:r w:rsidRPr="69D5F5AA" w:rsidR="69D5F5AA">
        <w:rPr>
          <w:rFonts w:ascii="Times New Roman" w:hAnsi="Times New Roman" w:eastAsia="Times New Roman" w:cs="Times New Roman"/>
          <w:b w:val="1"/>
          <w:bCs w:val="1"/>
          <w:noProof w:val="0"/>
          <w:color w:val="auto"/>
          <w:sz w:val="24"/>
          <w:szCs w:val="24"/>
          <w:lang w:val="en-US"/>
        </w:rPr>
        <w:t>Institution(s):</w:t>
      </w:r>
    </w:p>
    <w:p w:rsidR="69D5F5AA" w:rsidP="69D5F5AA" w:rsidRDefault="69D5F5AA" w14:paraId="5578789A" w14:textId="5F9F8933">
      <w:pPr>
        <w:spacing w:line="276" w:lineRule="auto"/>
        <w:rPr>
          <w:rFonts w:ascii="Times New Roman" w:hAnsi="Times New Roman" w:eastAsia="Times New Roman" w:cs="Times New Roman"/>
          <w:noProof w:val="0"/>
          <w:color w:val="auto"/>
          <w:sz w:val="24"/>
          <w:szCs w:val="24"/>
          <w:lang w:val="en-US"/>
        </w:rPr>
      </w:pPr>
      <w:r w:rsidRPr="69D5F5AA" w:rsidR="69D5F5AA">
        <w:rPr>
          <w:rFonts w:ascii="Times New Roman" w:hAnsi="Times New Roman" w:eastAsia="Times New Roman" w:cs="Times New Roman"/>
          <w:noProof w:val="0"/>
          <w:color w:val="auto"/>
          <w:sz w:val="24"/>
          <w:szCs w:val="24"/>
          <w:lang w:val="en-US"/>
        </w:rPr>
        <w:t xml:space="preserve">Division of Neurosurgery, Tuen Mun Hospital, Hong Kong </w:t>
      </w:r>
      <w:r w:rsidRPr="69D5F5AA" w:rsidR="69D5F5AA">
        <w:rPr>
          <w:rFonts w:ascii="Times New Roman" w:hAnsi="Times New Roman" w:eastAsia="Times New Roman" w:cs="Times New Roman"/>
          <w:noProof w:val="0"/>
          <w:color w:val="auto"/>
          <w:sz w:val="24"/>
          <w:szCs w:val="24"/>
          <w:lang w:val="en-US"/>
        </w:rPr>
        <w:t xml:space="preserve"> </w:t>
      </w:r>
    </w:p>
    <w:p w:rsidR="69D5F5AA" w:rsidP="69D5F5AA" w:rsidRDefault="69D5F5AA" w14:paraId="17BAAD7F" w14:textId="7B3313C4">
      <w:pPr>
        <w:spacing w:line="276" w:lineRule="auto"/>
        <w:rPr>
          <w:rFonts w:ascii="Times New Roman" w:hAnsi="Times New Roman" w:eastAsia="Times New Roman" w:cs="Times New Roman"/>
          <w:noProof w:val="0"/>
          <w:color w:val="auto"/>
          <w:sz w:val="24"/>
          <w:szCs w:val="24"/>
          <w:lang w:val="en-US"/>
        </w:rPr>
      </w:pPr>
      <w:r w:rsidRPr="69D5F5AA" w:rsidR="69D5F5AA">
        <w:rPr>
          <w:rFonts w:ascii="Times New Roman" w:hAnsi="Times New Roman" w:eastAsia="Times New Roman" w:cs="Times New Roman"/>
          <w:b w:val="1"/>
          <w:bCs w:val="1"/>
          <w:noProof w:val="0"/>
          <w:color w:val="auto"/>
          <w:sz w:val="24"/>
          <w:szCs w:val="24"/>
          <w:lang w:val="en-US"/>
        </w:rPr>
        <w:t>Abstract:</w:t>
      </w:r>
    </w:p>
    <w:p w:rsidR="69D5F5AA" w:rsidP="69D5F5AA" w:rsidRDefault="69D5F5AA" w14:paraId="4ECA8202" w14:textId="312F18F8">
      <w:pPr>
        <w:spacing w:line="276" w:lineRule="auto"/>
        <w:rPr>
          <w:rFonts w:ascii="Times New Roman" w:hAnsi="Times New Roman" w:eastAsia="Times New Roman" w:cs="Times New Roman"/>
          <w:b w:val="1"/>
          <w:bCs w:val="1"/>
          <w:noProof w:val="0"/>
          <w:color w:val="auto"/>
          <w:sz w:val="24"/>
          <w:szCs w:val="24"/>
          <w:lang w:val="en-US"/>
        </w:rPr>
      </w:pPr>
      <w:r w:rsidRPr="69D5F5AA" w:rsidR="69D5F5AA">
        <w:rPr>
          <w:rFonts w:ascii="Times New Roman" w:hAnsi="Times New Roman" w:eastAsia="Times New Roman" w:cs="Times New Roman"/>
          <w:b w:val="1"/>
          <w:bCs w:val="1"/>
          <w:i w:val="1"/>
          <w:iCs w:val="1"/>
          <w:noProof w:val="0"/>
          <w:color w:val="auto"/>
          <w:sz w:val="24"/>
          <w:szCs w:val="24"/>
          <w:lang w:val="en-US"/>
        </w:rPr>
        <w:t>Objective</w:t>
      </w:r>
      <w:r w:rsidRPr="69D5F5AA" w:rsidR="69D5F5AA">
        <w:rPr>
          <w:rFonts w:ascii="Times New Roman" w:hAnsi="Times New Roman" w:eastAsia="Times New Roman" w:cs="Times New Roman"/>
          <w:b w:val="1"/>
          <w:bCs w:val="1"/>
          <w:noProof w:val="0"/>
          <w:color w:val="auto"/>
          <w:sz w:val="24"/>
          <w:szCs w:val="24"/>
          <w:lang w:val="en-US"/>
        </w:rPr>
        <w:t>:</w:t>
      </w:r>
    </w:p>
    <w:p w:rsidR="69D5F5AA" w:rsidP="69D5F5AA" w:rsidRDefault="69D5F5AA" w14:paraId="300EBFAD" w14:textId="66037E20">
      <w:pPr>
        <w:spacing w:line="276" w:lineRule="auto"/>
        <w:rPr>
          <w:rFonts w:ascii="Times New Roman" w:hAnsi="Times New Roman" w:eastAsia="Times New Roman" w:cs="Times New Roman"/>
          <w:i w:val="1"/>
          <w:iCs w:val="1"/>
          <w:noProof w:val="0"/>
          <w:color w:val="auto"/>
          <w:sz w:val="24"/>
          <w:szCs w:val="24"/>
          <w:lang w:val="en-US"/>
        </w:rPr>
      </w:pPr>
      <w:r w:rsidRPr="69D5F5AA" w:rsidR="69D5F5AA">
        <w:rPr>
          <w:rFonts w:ascii="Times New Roman" w:hAnsi="Times New Roman" w:eastAsia="Times New Roman" w:cs="Times New Roman"/>
          <w:noProof w:val="0"/>
          <w:color w:val="auto"/>
          <w:sz w:val="24"/>
          <w:szCs w:val="24"/>
          <w:lang w:val="en-US"/>
        </w:rPr>
        <w:t xml:space="preserve">To investigate and compare the outcomes in patients who underwent isolated acute subdural hematoma evacuation with or without concomitant placement of intracranial pressure monitor. </w:t>
      </w:r>
      <w:r w:rsidRPr="69D5F5AA" w:rsidR="69D5F5AA">
        <w:rPr>
          <w:rFonts w:ascii="Times New Roman" w:hAnsi="Times New Roman" w:eastAsia="Times New Roman" w:cs="Times New Roman"/>
          <w:i w:val="1"/>
          <w:iCs w:val="1"/>
          <w:noProof w:val="0"/>
          <w:color w:val="auto"/>
          <w:sz w:val="24"/>
          <w:szCs w:val="24"/>
          <w:lang w:val="en-US"/>
        </w:rPr>
        <w:t xml:space="preserve"> </w:t>
      </w:r>
    </w:p>
    <w:p w:rsidR="69D5F5AA" w:rsidP="69D5F5AA" w:rsidRDefault="69D5F5AA" w14:paraId="2D8E41CF" w14:textId="2D229D85">
      <w:pPr>
        <w:spacing w:line="276" w:lineRule="auto"/>
        <w:rPr>
          <w:rFonts w:ascii="Times New Roman" w:hAnsi="Times New Roman" w:eastAsia="Times New Roman" w:cs="Times New Roman"/>
          <w:b w:val="1"/>
          <w:bCs w:val="1"/>
          <w:i w:val="1"/>
          <w:iCs w:val="1"/>
          <w:noProof w:val="0"/>
          <w:color w:val="auto"/>
          <w:sz w:val="24"/>
          <w:szCs w:val="24"/>
          <w:lang w:val="en-US"/>
        </w:rPr>
      </w:pPr>
      <w:r w:rsidRPr="69D5F5AA" w:rsidR="69D5F5AA">
        <w:rPr>
          <w:rFonts w:ascii="Times New Roman" w:hAnsi="Times New Roman" w:eastAsia="Times New Roman" w:cs="Times New Roman"/>
          <w:b w:val="1"/>
          <w:bCs w:val="1"/>
          <w:i w:val="1"/>
          <w:iCs w:val="1"/>
          <w:noProof w:val="0"/>
          <w:color w:val="auto"/>
          <w:sz w:val="24"/>
          <w:szCs w:val="24"/>
          <w:lang w:val="en-US"/>
        </w:rPr>
        <w:t>Method:</w:t>
      </w:r>
    </w:p>
    <w:p w:rsidR="69D5F5AA" w:rsidP="69D5F5AA" w:rsidRDefault="69D5F5AA" w14:paraId="6C399112" w14:textId="599A3218">
      <w:pPr>
        <w:spacing w:line="276" w:lineRule="auto"/>
        <w:rPr>
          <w:rFonts w:ascii="Times New Roman" w:hAnsi="Times New Roman" w:eastAsia="Times New Roman" w:cs="Times New Roman"/>
          <w:noProof w:val="0"/>
          <w:color w:val="auto"/>
          <w:sz w:val="24"/>
          <w:szCs w:val="24"/>
          <w:lang w:val="en-US"/>
        </w:rPr>
      </w:pPr>
      <w:r w:rsidRPr="69D5F5AA" w:rsidR="69D5F5AA">
        <w:rPr>
          <w:rFonts w:ascii="Times New Roman" w:hAnsi="Times New Roman" w:eastAsia="Times New Roman" w:cs="Times New Roman"/>
          <w:noProof w:val="0"/>
          <w:color w:val="auto"/>
          <w:sz w:val="24"/>
          <w:szCs w:val="24"/>
          <w:lang w:val="en-US"/>
        </w:rPr>
        <w:t>A twenty-year single institution retrospective comparison between change in neurological status of patients who underwent isolated acute subdural hematoma evacuation with or without concomitant placement of intracranial pressure monitor.</w:t>
      </w:r>
    </w:p>
    <w:p w:rsidR="69D5F5AA" w:rsidP="69D5F5AA" w:rsidRDefault="69D5F5AA" w14:paraId="3517D0B5" w14:textId="28AA5DB3">
      <w:pPr>
        <w:pStyle w:val="Normal"/>
        <w:spacing w:line="276" w:lineRule="auto"/>
        <w:rPr>
          <w:rFonts w:ascii="Times New Roman" w:hAnsi="Times New Roman" w:eastAsia="Times New Roman" w:cs="Times New Roman"/>
          <w:noProof w:val="0"/>
          <w:color w:val="auto"/>
          <w:sz w:val="24"/>
          <w:szCs w:val="24"/>
          <w:lang w:val="en-US"/>
        </w:rPr>
      </w:pPr>
      <w:r w:rsidRPr="546A83F6" w:rsidR="546A83F6">
        <w:rPr>
          <w:rFonts w:ascii="Times New Roman" w:hAnsi="Times New Roman" w:eastAsia="Times New Roman" w:cs="Times New Roman"/>
          <w:noProof w:val="0"/>
          <w:color w:val="auto"/>
          <w:sz w:val="24"/>
          <w:szCs w:val="24"/>
          <w:lang w:val="en-US"/>
        </w:rPr>
        <w:t xml:space="preserve">The primary outcome of change in neurological status was defined as the difference between the best postoperative GCS and the most immediate preoperative GCS. Secondary outcomes including change in management, including medical and surgical management of elevated ICP, and </w:t>
      </w:r>
      <w:proofErr w:type="gramStart"/>
      <w:r w:rsidRPr="546A83F6" w:rsidR="546A83F6">
        <w:rPr>
          <w:rFonts w:ascii="Times New Roman" w:hAnsi="Times New Roman" w:eastAsia="Times New Roman" w:cs="Times New Roman"/>
          <w:noProof w:val="0"/>
          <w:color w:val="auto"/>
          <w:sz w:val="24"/>
          <w:szCs w:val="24"/>
          <w:lang w:val="en-US"/>
        </w:rPr>
        <w:t>30 day</w:t>
      </w:r>
      <w:proofErr w:type="gramEnd"/>
      <w:r w:rsidRPr="546A83F6" w:rsidR="546A83F6">
        <w:rPr>
          <w:rFonts w:ascii="Times New Roman" w:hAnsi="Times New Roman" w:eastAsia="Times New Roman" w:cs="Times New Roman"/>
          <w:noProof w:val="0"/>
          <w:color w:val="auto"/>
          <w:sz w:val="24"/>
          <w:szCs w:val="24"/>
          <w:lang w:val="en-US"/>
        </w:rPr>
        <w:t xml:space="preserve"> mortality </w:t>
      </w:r>
      <w:proofErr w:type="gramStart"/>
      <w:r w:rsidRPr="546A83F6" w:rsidR="546A83F6">
        <w:rPr>
          <w:rFonts w:ascii="Times New Roman" w:hAnsi="Times New Roman" w:eastAsia="Times New Roman" w:cs="Times New Roman"/>
          <w:noProof w:val="0"/>
          <w:color w:val="auto"/>
          <w:sz w:val="24"/>
          <w:szCs w:val="24"/>
          <w:lang w:val="en-US"/>
        </w:rPr>
        <w:t>were</w:t>
      </w:r>
      <w:proofErr w:type="gramEnd"/>
      <w:r w:rsidRPr="546A83F6" w:rsidR="546A83F6">
        <w:rPr>
          <w:rFonts w:ascii="Times New Roman" w:hAnsi="Times New Roman" w:eastAsia="Times New Roman" w:cs="Times New Roman"/>
          <w:noProof w:val="0"/>
          <w:color w:val="auto"/>
          <w:sz w:val="24"/>
          <w:szCs w:val="24"/>
          <w:lang w:val="en-US"/>
        </w:rPr>
        <w:t xml:space="preserve"> also studied. </w:t>
      </w:r>
    </w:p>
    <w:p w:rsidR="69D5F5AA" w:rsidP="69D5F5AA" w:rsidRDefault="69D5F5AA" w14:paraId="535228CB" w14:textId="53AF5FA6">
      <w:pPr>
        <w:spacing w:line="276" w:lineRule="auto"/>
        <w:rPr>
          <w:rFonts w:ascii="Times New Roman" w:hAnsi="Times New Roman" w:eastAsia="Times New Roman" w:cs="Times New Roman"/>
          <w:b w:val="1"/>
          <w:bCs w:val="1"/>
          <w:i w:val="1"/>
          <w:iCs w:val="1"/>
          <w:noProof w:val="0"/>
          <w:color w:val="auto"/>
          <w:sz w:val="24"/>
          <w:szCs w:val="24"/>
          <w:lang w:val="en-US"/>
        </w:rPr>
      </w:pPr>
      <w:r w:rsidRPr="69D5F5AA" w:rsidR="69D5F5AA">
        <w:rPr>
          <w:rFonts w:ascii="Times New Roman" w:hAnsi="Times New Roman" w:eastAsia="Times New Roman" w:cs="Times New Roman"/>
          <w:b w:val="1"/>
          <w:bCs w:val="1"/>
          <w:i w:val="1"/>
          <w:iCs w:val="1"/>
          <w:noProof w:val="0"/>
          <w:color w:val="auto"/>
          <w:sz w:val="24"/>
          <w:szCs w:val="24"/>
          <w:lang w:val="en-US"/>
        </w:rPr>
        <w:t>Result:</w:t>
      </w:r>
    </w:p>
    <w:p w:rsidR="69D5F5AA" w:rsidP="69D5F5AA" w:rsidRDefault="69D5F5AA" w14:paraId="5C903402" w14:textId="3C9189FD">
      <w:pPr>
        <w:spacing w:line="276" w:lineRule="auto"/>
        <w:rPr>
          <w:rFonts w:ascii="Times New Roman" w:hAnsi="Times New Roman" w:eastAsia="Times New Roman" w:cs="Times New Roman"/>
          <w:i w:val="1"/>
          <w:iCs w:val="1"/>
          <w:noProof w:val="0"/>
          <w:color w:val="auto"/>
          <w:sz w:val="24"/>
          <w:szCs w:val="24"/>
          <w:lang w:val="en-US"/>
        </w:rPr>
      </w:pPr>
      <w:r w:rsidRPr="69D5F5AA" w:rsidR="69D5F5AA">
        <w:rPr>
          <w:rFonts w:ascii="Times New Roman" w:hAnsi="Times New Roman" w:eastAsia="Times New Roman" w:cs="Times New Roman"/>
          <w:noProof w:val="0"/>
          <w:color w:val="auto"/>
          <w:sz w:val="24"/>
          <w:szCs w:val="24"/>
          <w:lang w:val="en-US"/>
        </w:rPr>
        <w:t xml:space="preserve">There was no significant difference in neurological outcomes between patients who underwent concomitant placement of intracranial pressure monitor. There was no significant change in medical management, operative management, or </w:t>
      </w:r>
      <w:proofErr w:type="gramStart"/>
      <w:r w:rsidRPr="69D5F5AA" w:rsidR="69D5F5AA">
        <w:rPr>
          <w:rFonts w:ascii="Times New Roman" w:hAnsi="Times New Roman" w:eastAsia="Times New Roman" w:cs="Times New Roman"/>
          <w:noProof w:val="0"/>
          <w:color w:val="auto"/>
          <w:sz w:val="24"/>
          <w:szCs w:val="24"/>
          <w:lang w:val="en-US"/>
        </w:rPr>
        <w:t>30 day</w:t>
      </w:r>
      <w:proofErr w:type="gramEnd"/>
      <w:r w:rsidRPr="69D5F5AA" w:rsidR="69D5F5AA">
        <w:rPr>
          <w:rFonts w:ascii="Times New Roman" w:hAnsi="Times New Roman" w:eastAsia="Times New Roman" w:cs="Times New Roman"/>
          <w:noProof w:val="0"/>
          <w:color w:val="auto"/>
          <w:sz w:val="24"/>
          <w:szCs w:val="24"/>
          <w:lang w:val="en-US"/>
        </w:rPr>
        <w:t xml:space="preserve"> mortality. </w:t>
      </w:r>
      <w:r w:rsidRPr="69D5F5AA" w:rsidR="69D5F5AA">
        <w:rPr>
          <w:rFonts w:ascii="Times New Roman" w:hAnsi="Times New Roman" w:eastAsia="Times New Roman" w:cs="Times New Roman"/>
          <w:i w:val="1"/>
          <w:iCs w:val="1"/>
          <w:noProof w:val="0"/>
          <w:color w:val="auto"/>
          <w:sz w:val="24"/>
          <w:szCs w:val="24"/>
          <w:lang w:val="en-US"/>
        </w:rPr>
        <w:t xml:space="preserve"> </w:t>
      </w:r>
    </w:p>
    <w:p w:rsidR="69D5F5AA" w:rsidP="69D5F5AA" w:rsidRDefault="69D5F5AA" w14:paraId="72871788" w14:textId="6CA5F50D">
      <w:pPr>
        <w:spacing w:line="276" w:lineRule="auto"/>
        <w:rPr>
          <w:rFonts w:ascii="Times New Roman" w:hAnsi="Times New Roman" w:eastAsia="Times New Roman" w:cs="Times New Roman"/>
          <w:b w:val="1"/>
          <w:bCs w:val="1"/>
          <w:i w:val="1"/>
          <w:iCs w:val="1"/>
          <w:noProof w:val="0"/>
          <w:color w:val="auto"/>
          <w:sz w:val="24"/>
          <w:szCs w:val="24"/>
          <w:lang w:val="en-US"/>
        </w:rPr>
      </w:pPr>
      <w:r w:rsidRPr="69D5F5AA" w:rsidR="69D5F5AA">
        <w:rPr>
          <w:rFonts w:ascii="Times New Roman" w:hAnsi="Times New Roman" w:eastAsia="Times New Roman" w:cs="Times New Roman"/>
          <w:b w:val="1"/>
          <w:bCs w:val="1"/>
          <w:i w:val="1"/>
          <w:iCs w:val="1"/>
          <w:noProof w:val="0"/>
          <w:color w:val="auto"/>
          <w:sz w:val="24"/>
          <w:szCs w:val="24"/>
          <w:lang w:val="en-US"/>
        </w:rPr>
        <w:t>Conclusion:</w:t>
      </w:r>
    </w:p>
    <w:p w:rsidR="69D5F5AA" w:rsidP="69D5F5AA" w:rsidRDefault="69D5F5AA" w14:paraId="114A471B" w14:textId="703399C5">
      <w:pPr>
        <w:pStyle w:val="Normal"/>
        <w:bidi w:val="0"/>
        <w:spacing w:before="0" w:beforeAutospacing="off" w:after="160" w:afterAutospacing="off" w:line="276" w:lineRule="auto"/>
        <w:ind w:left="0" w:right="0"/>
        <w:jc w:val="left"/>
        <w:rPr>
          <w:rFonts w:ascii="Times New Roman" w:hAnsi="Times New Roman" w:eastAsia="Times New Roman" w:cs="Times New Roman"/>
          <w:noProof w:val="0"/>
          <w:color w:val="auto"/>
          <w:sz w:val="24"/>
          <w:szCs w:val="24"/>
          <w:lang w:val="en-US"/>
        </w:rPr>
      </w:pPr>
      <w:r w:rsidRPr="546A83F6" w:rsidR="546A83F6">
        <w:rPr>
          <w:rFonts w:ascii="Times New Roman" w:hAnsi="Times New Roman" w:eastAsia="Times New Roman" w:cs="Times New Roman"/>
          <w:noProof w:val="0"/>
          <w:color w:val="auto"/>
          <w:sz w:val="24"/>
          <w:szCs w:val="24"/>
          <w:lang w:val="en-US"/>
        </w:rPr>
        <w:t>There is no utility in the concomitant placement of intracranial pressure monitor in isolated acute subdural hematoma evacuation. The use of unnecessary invasive monitoring should be minimized to optimize operative time, nursing care, and reduce direct and indirect complications.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D0F980"/>
    <w:rsid w:val="11D0F980"/>
    <w:rsid w:val="546A83F6"/>
    <w:rsid w:val="69D5F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F980"/>
  <w15:chartTrackingRefBased/>
  <w15:docId w15:val="{FD0086D2-5AAA-4BC7-A148-BC510B5D0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ban lee</dc:creator>
  <keywords/>
  <dc:description/>
  <lastModifiedBy>ban lee</lastModifiedBy>
  <revision>3</revision>
  <dcterms:created xsi:type="dcterms:W3CDTF">2021-09-09T05:31:30.8631003Z</dcterms:created>
  <dcterms:modified xsi:type="dcterms:W3CDTF">2021-09-10T06:31:20.0383653Z</dcterms:modified>
</coreProperties>
</file>